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7" w:rsidRPr="003F6417" w:rsidRDefault="003F6417" w:rsidP="00883309">
      <w:pPr>
        <w:keepNext/>
        <w:spacing w:after="0" w:line="240" w:lineRule="auto"/>
        <w:ind w:left="-84" w:right="6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63553607"/>
      <w:bookmarkStart w:id="1" w:name="_GoBack"/>
      <w:bookmarkEnd w:id="1"/>
      <w:r w:rsidRPr="003F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объем затрат на производство и реализацию товаров (работ, услуг)</w:t>
      </w:r>
      <w:bookmarkEnd w:id="0"/>
      <w:r w:rsidR="0093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«Интер РАО – Электрогенерация» за 201</w:t>
      </w:r>
      <w:r w:rsidR="006C4A16" w:rsidRPr="002A1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F6417" w:rsidRPr="003F6417" w:rsidRDefault="003F6417" w:rsidP="003F64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0313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612"/>
        <w:gridCol w:w="1648"/>
        <w:gridCol w:w="2045"/>
      </w:tblGrid>
      <w:tr w:rsidR="006A19D3" w:rsidRPr="006A19D3" w:rsidTr="00173949">
        <w:trPr>
          <w:trHeight w:val="805"/>
        </w:trPr>
        <w:tc>
          <w:tcPr>
            <w:tcW w:w="1008" w:type="dxa"/>
            <w:shd w:val="clear" w:color="auto" w:fill="D9D9D9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612" w:type="dxa"/>
            <w:shd w:val="clear" w:color="auto" w:fill="D9D9D9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648" w:type="dxa"/>
            <w:shd w:val="clear" w:color="auto" w:fill="D9D9D9"/>
            <w:vAlign w:val="center"/>
          </w:tcPr>
          <w:p w:rsidR="006A19D3" w:rsidRPr="006A19D3" w:rsidRDefault="006A19D3" w:rsidP="006A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Тыс. руб.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6A19D3" w:rsidRPr="003F6417" w:rsidRDefault="006A19D3" w:rsidP="006A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Фактическая, доля, %</w:t>
            </w:r>
          </w:p>
        </w:tc>
      </w:tr>
      <w:tr w:rsidR="006A19D3" w:rsidRPr="006A19D3" w:rsidTr="00173949">
        <w:trPr>
          <w:trHeight w:val="270"/>
        </w:trPr>
        <w:tc>
          <w:tcPr>
            <w:tcW w:w="1008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6A19D3" w:rsidRPr="006A19D3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40E5C" w:rsidRPr="006A19D3" w:rsidTr="00940E5C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940E5C" w:rsidRPr="0093540D" w:rsidRDefault="00940E5C" w:rsidP="00940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Покупная электроэнергия (мощность)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7 317 185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4,8%</w:t>
            </w:r>
          </w:p>
        </w:tc>
      </w:tr>
      <w:tr w:rsidR="00940E5C" w:rsidRPr="006A19D3" w:rsidTr="00940E5C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940E5C" w:rsidRPr="0093540D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Стоимость товаров для перепродажи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15 137 008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9,9%</w:t>
            </w:r>
          </w:p>
        </w:tc>
      </w:tr>
      <w:tr w:rsidR="00940E5C" w:rsidRPr="006A19D3" w:rsidTr="00940E5C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940E5C" w:rsidRPr="00AE313F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Стоимость топлива для производства электроэнергии, </w:t>
            </w:r>
            <w:proofErr w:type="spellStart"/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теплоэнергии</w:t>
            </w:r>
            <w:proofErr w:type="spellEnd"/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учетом транспортировки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76 395 031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50,2%</w:t>
            </w:r>
          </w:p>
        </w:tc>
      </w:tr>
      <w:tr w:rsidR="00940E5C" w:rsidRPr="006A19D3" w:rsidTr="00940E5C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940E5C" w:rsidRPr="00AE313F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15 702 191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10,3%</w:t>
            </w:r>
          </w:p>
        </w:tc>
      </w:tr>
      <w:tr w:rsidR="00940E5C" w:rsidRPr="006A19D3" w:rsidTr="00940E5C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12" w:type="dxa"/>
            <w:shd w:val="clear" w:color="auto" w:fill="auto"/>
          </w:tcPr>
          <w:p w:rsidR="00940E5C" w:rsidRPr="00AE313F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ремонт производственных мощностей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6 515 284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4,3%</w:t>
            </w:r>
          </w:p>
        </w:tc>
      </w:tr>
      <w:tr w:rsidR="00940E5C" w:rsidRPr="006A19D3" w:rsidTr="00940E5C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12" w:type="dxa"/>
            <w:shd w:val="clear" w:color="auto" w:fill="auto"/>
          </w:tcPr>
          <w:p w:rsidR="00940E5C" w:rsidRPr="0093540D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Эксплуатационные и производственные расходы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1 855 988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1,2%</w:t>
            </w:r>
          </w:p>
        </w:tc>
      </w:tr>
      <w:tr w:rsidR="00940E5C" w:rsidRPr="006A19D3" w:rsidTr="00940E5C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12" w:type="dxa"/>
            <w:shd w:val="clear" w:color="auto" w:fill="auto"/>
          </w:tcPr>
          <w:p w:rsidR="00940E5C" w:rsidRPr="0093540D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Лизинг производственного назначения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0,0%</w:t>
            </w:r>
          </w:p>
        </w:tc>
      </w:tr>
      <w:tr w:rsidR="00940E5C" w:rsidRPr="006A19D3" w:rsidTr="00940E5C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12" w:type="dxa"/>
            <w:shd w:val="clear" w:color="auto" w:fill="auto"/>
          </w:tcPr>
          <w:p w:rsidR="00940E5C" w:rsidRPr="00AE313F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инфраструктурных организаций национального </w:t>
            </w:r>
            <w:proofErr w:type="spellStart"/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энергорынка</w:t>
            </w:r>
            <w:proofErr w:type="spellEnd"/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2 390 698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1,6%</w:t>
            </w:r>
          </w:p>
        </w:tc>
      </w:tr>
      <w:tr w:rsidR="00940E5C" w:rsidRPr="006A19D3" w:rsidTr="00940E5C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12" w:type="dxa"/>
            <w:shd w:val="clear" w:color="auto" w:fill="auto"/>
          </w:tcPr>
          <w:p w:rsidR="00940E5C" w:rsidRPr="00AE313F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 по реализации товаров (работ, услуг)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164 758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0,1%</w:t>
            </w:r>
          </w:p>
        </w:tc>
      </w:tr>
      <w:tr w:rsidR="00940E5C" w:rsidRPr="006A19D3" w:rsidTr="00940E5C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12" w:type="dxa"/>
            <w:shd w:val="clear" w:color="auto" w:fill="auto"/>
          </w:tcPr>
          <w:p w:rsidR="00940E5C" w:rsidRPr="0093540D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Затраты на оплату труда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8 896 697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5,8%</w:t>
            </w:r>
          </w:p>
        </w:tc>
      </w:tr>
      <w:tr w:rsidR="00940E5C" w:rsidRPr="006A19D3" w:rsidTr="00940E5C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12" w:type="dxa"/>
            <w:shd w:val="clear" w:color="auto" w:fill="auto"/>
          </w:tcPr>
          <w:p w:rsidR="00940E5C" w:rsidRPr="00AE313F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Обязательные отчисления от фонда оплаты труда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2 461 432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1,6%</w:t>
            </w:r>
          </w:p>
        </w:tc>
      </w:tr>
      <w:tr w:rsidR="00940E5C" w:rsidRPr="006A19D3" w:rsidTr="00940E5C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12" w:type="dxa"/>
            <w:shd w:val="clear" w:color="auto" w:fill="auto"/>
          </w:tcPr>
          <w:p w:rsidR="00940E5C" w:rsidRPr="0093540D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Негосударственное пенсионное обеспечение (списание)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0,0%</w:t>
            </w:r>
          </w:p>
        </w:tc>
      </w:tr>
      <w:tr w:rsidR="00940E5C" w:rsidRPr="006A19D3" w:rsidTr="00940E5C">
        <w:trPr>
          <w:trHeight w:val="317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612" w:type="dxa"/>
            <w:shd w:val="clear" w:color="auto" w:fill="auto"/>
          </w:tcPr>
          <w:p w:rsidR="00940E5C" w:rsidRPr="0093540D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Налоги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5 201 382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3,4%</w:t>
            </w:r>
          </w:p>
        </w:tc>
      </w:tr>
      <w:tr w:rsidR="00940E5C" w:rsidRPr="006A19D3" w:rsidTr="00940E5C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12" w:type="dxa"/>
            <w:shd w:val="clear" w:color="auto" w:fill="auto"/>
          </w:tcPr>
          <w:p w:rsidR="00940E5C" w:rsidRPr="0093540D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Прочие расходы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10 097 575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6,6%</w:t>
            </w:r>
          </w:p>
        </w:tc>
      </w:tr>
      <w:tr w:rsidR="00940E5C" w:rsidRPr="006A19D3" w:rsidTr="00940E5C">
        <w:trPr>
          <w:trHeight w:val="724"/>
        </w:trPr>
        <w:tc>
          <w:tcPr>
            <w:tcW w:w="1008" w:type="dxa"/>
            <w:shd w:val="clear" w:color="auto" w:fill="auto"/>
            <w:vAlign w:val="center"/>
          </w:tcPr>
          <w:p w:rsidR="00940E5C" w:rsidRPr="00D17BB0" w:rsidRDefault="00940E5C" w:rsidP="00D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612" w:type="dxa"/>
            <w:shd w:val="clear" w:color="auto" w:fill="auto"/>
          </w:tcPr>
          <w:p w:rsidR="00940E5C" w:rsidRPr="00AE313F" w:rsidRDefault="00940E5C" w:rsidP="0093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ИТОГО, затрат на производство и реализацию товаров (работ, услуг)</w:t>
            </w:r>
          </w:p>
        </w:tc>
        <w:tc>
          <w:tcPr>
            <w:tcW w:w="1648" w:type="dxa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152 135 229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40E5C" w:rsidRPr="00940E5C" w:rsidRDefault="00940E5C" w:rsidP="00940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100,0%</w:t>
            </w:r>
          </w:p>
        </w:tc>
      </w:tr>
    </w:tbl>
    <w:p w:rsidR="0093540D" w:rsidRPr="003F6417" w:rsidRDefault="0093540D" w:rsidP="003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417" w:rsidRPr="003F6417" w:rsidRDefault="003F6417" w:rsidP="003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4A" w:rsidRPr="00173949" w:rsidRDefault="00807082" w:rsidP="00807082">
      <w:pPr>
        <w:ind w:hanging="993"/>
      </w:pPr>
      <w:bookmarkStart w:id="2" w:name="_Toc323306725"/>
      <w:bookmarkEnd w:id="2"/>
      <w:r>
        <w:rPr>
          <w:noProof/>
          <w:lang w:eastAsia="ru-RU"/>
        </w:rPr>
        <w:drawing>
          <wp:inline distT="0" distB="0" distL="0" distR="0" wp14:anchorId="1D5F06B9" wp14:editId="6191B521">
            <wp:extent cx="6648450" cy="3895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8574A" w:rsidRPr="00173949" w:rsidSect="00492DD8">
      <w:headerReference w:type="default" r:id="rId8"/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29" w:rsidRDefault="00A47929" w:rsidP="003F6417">
      <w:pPr>
        <w:spacing w:after="0" w:line="240" w:lineRule="auto"/>
      </w:pPr>
      <w:r>
        <w:separator/>
      </w:r>
    </w:p>
  </w:endnote>
  <w:endnote w:type="continuationSeparator" w:id="0">
    <w:p w:rsidR="00A47929" w:rsidRDefault="00A47929" w:rsidP="003F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29" w:rsidRDefault="00A47929" w:rsidP="003F6417">
      <w:pPr>
        <w:spacing w:after="0" w:line="240" w:lineRule="auto"/>
      </w:pPr>
      <w:r>
        <w:separator/>
      </w:r>
    </w:p>
  </w:footnote>
  <w:footnote w:type="continuationSeparator" w:id="0">
    <w:p w:rsidR="00A47929" w:rsidRDefault="00A47929" w:rsidP="003F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EA" w:rsidRDefault="00A47929" w:rsidP="003A6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7"/>
    <w:rsid w:val="0011706D"/>
    <w:rsid w:val="00173949"/>
    <w:rsid w:val="001B5427"/>
    <w:rsid w:val="002A1FE6"/>
    <w:rsid w:val="003814B9"/>
    <w:rsid w:val="003D0C7F"/>
    <w:rsid w:val="003F6417"/>
    <w:rsid w:val="004A21B0"/>
    <w:rsid w:val="004A6745"/>
    <w:rsid w:val="0058574A"/>
    <w:rsid w:val="006A19D3"/>
    <w:rsid w:val="006C4A16"/>
    <w:rsid w:val="006E081C"/>
    <w:rsid w:val="00807082"/>
    <w:rsid w:val="0085778E"/>
    <w:rsid w:val="00877727"/>
    <w:rsid w:val="00883309"/>
    <w:rsid w:val="008840E7"/>
    <w:rsid w:val="0093540D"/>
    <w:rsid w:val="00940E5C"/>
    <w:rsid w:val="00991958"/>
    <w:rsid w:val="00993046"/>
    <w:rsid w:val="00A47929"/>
    <w:rsid w:val="00AB576E"/>
    <w:rsid w:val="00AC3899"/>
    <w:rsid w:val="00AE313F"/>
    <w:rsid w:val="00BA2F94"/>
    <w:rsid w:val="00BF393B"/>
    <w:rsid w:val="00C12FAE"/>
    <w:rsid w:val="00D17BB0"/>
    <w:rsid w:val="00D4768E"/>
    <w:rsid w:val="00E047CA"/>
    <w:rsid w:val="00E3753B"/>
    <w:rsid w:val="00E45BFB"/>
    <w:rsid w:val="00EF2555"/>
    <w:rsid w:val="00F1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1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F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1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F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asileva_iv\Documents\&#1043;&#1054;&#1044;&#1054;&#1042;&#1054;&#1049;%20&#1054;&#1058;&#1063;&#1045;&#1058;\2018\&#1056;&#1072;&#1089;&#1093;&#1086;&#1076;&#1099;%20&#1040;&#1057;&#1050;&#105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331423113658071E-2"/>
          <c:y val="6.8252507556359851E-2"/>
          <c:w val="0.76762643924523766"/>
          <c:h val="0.82404507505021529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rgbClr val="3E85DA"/>
              </a:solidFill>
            </c:spPr>
          </c:dPt>
          <c:dPt>
            <c:idx val="1"/>
            <c:bubble3D val="0"/>
            <c:spPr>
              <a:solidFill>
                <a:srgbClr val="F57913"/>
              </a:solidFill>
            </c:spPr>
          </c:dPt>
          <c:dPt>
            <c:idx val="2"/>
            <c:bubble3D val="0"/>
            <c:spPr>
              <a:solidFill>
                <a:srgbClr val="99CC00"/>
              </a:solidFill>
            </c:spPr>
          </c:dPt>
          <c:dPt>
            <c:idx val="3"/>
            <c:bubble3D val="0"/>
            <c:spPr>
              <a:solidFill>
                <a:srgbClr val="A6A6C5"/>
              </a:solidFill>
            </c:spPr>
          </c:dPt>
          <c:dLbls>
            <c:dLbl>
              <c:idx val="0"/>
              <c:layout>
                <c:manualLayout>
                  <c:x val="0.12161902398303363"/>
                  <c:y val="1.230836365503211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7522535327783167"/>
                  <c:y val="2.880003080299559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ahoma" panose="020B0604030504040204" pitchFamily="34" charset="0"/>
                        <a:ea typeface="Tahoma" panose="020B0604030504040204" pitchFamily="34" charset="0"/>
                        <a:cs typeface="Tahoma" panose="020B0604030504040204" pitchFamily="34" charset="0"/>
                      </a:defRPr>
                    </a:pPr>
                    <a:r>
                      <a:rPr lang="ru-RU" sz="900"/>
                      <a:t>Коммерческие </a:t>
                    </a:r>
                    <a:endParaRPr lang="en-US" sz="900"/>
                  </a:p>
                  <a:p>
                    <a:pPr>
                      <a:defRPr sz="900">
                        <a:latin typeface="Tahoma" panose="020B0604030504040204" pitchFamily="34" charset="0"/>
                        <a:ea typeface="Tahoma" panose="020B0604030504040204" pitchFamily="34" charset="0"/>
                        <a:cs typeface="Tahoma" panose="020B0604030504040204" pitchFamily="34" charset="0"/>
                      </a:defRPr>
                    </a:pPr>
                    <a:r>
                      <a:rPr lang="ru-RU" sz="900"/>
                      <a:t>расходы
0,17%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1032872323624341E-2"/>
                  <c:y val="6.1939690301548493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900"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278305469695944"/>
                  <c:y val="-3.3256740005124692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900"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'расходы 2018_раскрытие'!$J$7:$J$10</c:f>
              <c:strCache>
                <c:ptCount val="4"/>
                <c:pt idx="0">
                  <c:v>Расходы на производство</c:v>
                </c:pt>
                <c:pt idx="1">
                  <c:v>Коммерческие расходы</c:v>
                </c:pt>
                <c:pt idx="2">
                  <c:v>Управленческие и административные расходы</c:v>
                </c:pt>
                <c:pt idx="3">
                  <c:v>стоимость покупной электроэнергии (мощности) по торговой деятельности</c:v>
                </c:pt>
              </c:strCache>
            </c:strRef>
          </c:cat>
          <c:val>
            <c:numRef>
              <c:f>'расходы 2018_раскрытие'!$K$7:$K$10</c:f>
              <c:numCache>
                <c:formatCode>#,##0</c:formatCode>
                <c:ptCount val="4"/>
                <c:pt idx="0">
                  <c:v>142609626.04787549</c:v>
                </c:pt>
                <c:pt idx="1">
                  <c:v>261585</c:v>
                </c:pt>
                <c:pt idx="2">
                  <c:v>1946833</c:v>
                </c:pt>
                <c:pt idx="3">
                  <c:v>7317184.8258800041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'расходы 2018_раскрытие'!$J$7:$J$10</c:f>
              <c:strCache>
                <c:ptCount val="4"/>
                <c:pt idx="0">
                  <c:v>Расходы на производство</c:v>
                </c:pt>
                <c:pt idx="1">
                  <c:v>Коммерческие расходы</c:v>
                </c:pt>
                <c:pt idx="2">
                  <c:v>Управленческие и административные расходы</c:v>
                </c:pt>
                <c:pt idx="3">
                  <c:v>стоимость покупной электроэнергии (мощности) по торговой деятельности</c:v>
                </c:pt>
              </c:strCache>
            </c:strRef>
          </c:cat>
          <c:val>
            <c:numRef>
              <c:f>'расходы 2018_раскрытие'!$L$7:$L$10</c:f>
              <c:numCache>
                <c:formatCode>0.00%</c:formatCode>
                <c:ptCount val="4"/>
                <c:pt idx="0">
                  <c:v>0.93738726463030786</c:v>
                </c:pt>
                <c:pt idx="1">
                  <c:v>1.7194242381366376E-3</c:v>
                </c:pt>
                <c:pt idx="2">
                  <c:v>1.2796727059289579E-2</c:v>
                </c:pt>
                <c:pt idx="3">
                  <c:v>4.8096584072265955E-2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Владимировна</dc:creator>
  <cp:lastModifiedBy>Семенова Таисья Викторовна</cp:lastModifiedBy>
  <cp:revision>2</cp:revision>
  <cp:lastPrinted>2017-05-19T12:03:00Z</cp:lastPrinted>
  <dcterms:created xsi:type="dcterms:W3CDTF">2019-05-21T11:54:00Z</dcterms:created>
  <dcterms:modified xsi:type="dcterms:W3CDTF">2019-05-21T11:54:00Z</dcterms:modified>
</cp:coreProperties>
</file>